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E057F8">
        <w:rPr>
          <w:rFonts w:ascii="Arial" w:hAnsi="Arial" w:cs="Arial"/>
          <w:sz w:val="20"/>
          <w:szCs w:val="20"/>
        </w:rPr>
        <w:t>3</w:t>
      </w:r>
      <w:r w:rsidR="003852B3" w:rsidRPr="003852B3">
        <w:rPr>
          <w:rFonts w:ascii="Arial" w:hAnsi="Arial" w:cs="Arial"/>
          <w:sz w:val="20"/>
          <w:szCs w:val="20"/>
        </w:rPr>
        <w:t>/2015</w:t>
      </w:r>
      <w:r w:rsidR="007E3C5F">
        <w:rPr>
          <w:rFonts w:ascii="Arial" w:hAnsi="Arial" w:cs="Arial"/>
          <w:sz w:val="20"/>
          <w:szCs w:val="20"/>
        </w:rPr>
        <w:t xml:space="preserve"> vom 14.04.2015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E057F8" w:rsidRPr="00E057F8" w:rsidRDefault="00E057F8" w:rsidP="00E057F8">
      <w:pPr>
        <w:rPr>
          <w:rFonts w:ascii="Arial" w:hAnsi="Arial" w:cs="Arial"/>
          <w:b/>
          <w:sz w:val="20"/>
          <w:szCs w:val="20"/>
        </w:rPr>
      </w:pPr>
      <w:r w:rsidRPr="00E057F8">
        <w:rPr>
          <w:rFonts w:ascii="Arial" w:hAnsi="Arial" w:cs="Arial"/>
          <w:b/>
          <w:sz w:val="20"/>
          <w:szCs w:val="20"/>
        </w:rPr>
        <w:t>STARK III in der EU-Förderperiode 2014-2020 - Erste Grundsatzinformationen</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Das Innovations- und Investitionsprogramm STARK III geht weiter. Mit diesem Programm sollen auch in der neuen Förderperiode die bestandsfähigen Kindertageseinrichtungen und Schulen in Sachsen-Anhalt energetisch und allgemein saniert werden. Für diese Aufgabe stehen zunächst ca. 86 Mio. Euro aus dem EPLR und ca. 171 Mio. Euro aus dem EFRE zur Verfügung. Zur Finanzierung der allgemeinen Sanierung werden nochmals Landesmittel in einer Höhe von ca. 124 Mio. Euro durch das Land Sachsen-Anhalt bereitgestellt. Mit den einzusetzenden Eigenmitteln der Träger steht damit ein Paket von deutlich über 500 Mio. Euro zur Verfügung. </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Ziel der Förderung ist es, auch in der neuen Förderperiode besonders hohe Effekte in Bezug auf die Energieeinsparung und die Nutzung emissionsarmer Versorgungstechniken zu erzielen, die zu einer deutlichen CO2-Reduzierung und Erhöhung der Energieeffizienz führen. </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Für die Förderperiode 2014-2020 ist die Richtlinieninhaberschaft für das Förderprogramm STARK III (energetische Sanierung) auch aus dem EU-Fonds ELER auf das Ministerium der Finanzen (MF) übergegangen. Im Rahmen der Vorbereitungen und Planungen wurde über die Frage eines einheitlichen zentralen Ansprechpartners für alle Zuwendungsempfänger (einheitliche Antrags- und Bewilligungsstelle) entschieden. Die Aufgaben aus dem EFRE- und ELER-Bereich werden zukünftig insgesamt von der Investitionsbank Sachsen-Anhalt (IB) wahrgenommen. </w:t>
      </w:r>
    </w:p>
    <w:p w:rsidR="00E057F8" w:rsidRDefault="00E057F8" w:rsidP="00E057F8">
      <w:pPr>
        <w:rPr>
          <w:rFonts w:ascii="Arial" w:hAnsi="Arial" w:cs="Arial"/>
          <w:sz w:val="20"/>
          <w:szCs w:val="20"/>
        </w:rPr>
      </w:pPr>
      <w:r w:rsidRPr="00E057F8">
        <w:rPr>
          <w:rFonts w:ascii="Arial" w:hAnsi="Arial" w:cs="Arial"/>
          <w:sz w:val="20"/>
          <w:szCs w:val="20"/>
        </w:rPr>
        <w:t>Die STARK III-Projekte sind nach  den Vorgaben der EU-Kommission in einem objektiven Verfahren auszuwählen. Die dazu notwendigen Auswahlkriterien sind definiert worden und werden in die Begleitausschüsse für EFRE und ELER eingebracht, damit dort die Zustimmung bzw. Stellungnahme erfolgen kann. Im Rahmen der Bedarfsabfrage aus dem Jahre 2014 wurde festgestellt, dass man bereits jetzt von vielen sehr gut vorbereiteten Projekten ausgehen kann, welche durch die energetischen Sanierungsmaßnahmen besonders hohe Energieeinspareffekte erzielen können. Daher wurden mehrere Auswahlkriterien zur Ausdifferenzierung bestimmt. Die wichtigsten Auswahlkriterien sowohl für den EFRE- als auch den ELER-Bereich sind:</w:t>
      </w:r>
    </w:p>
    <w:p w:rsidR="00E057F8" w:rsidRDefault="00E057F8" w:rsidP="00E057F8">
      <w:pPr>
        <w:rPr>
          <w:rFonts w:ascii="Arial" w:hAnsi="Arial" w:cs="Arial"/>
          <w:sz w:val="20"/>
          <w:szCs w:val="20"/>
        </w:rPr>
      </w:pPr>
    </w:p>
    <w:p w:rsidR="00FA5308" w:rsidRDefault="00E057F8" w:rsidP="00FA5308">
      <w:pPr>
        <w:pStyle w:val="Listenabsatz"/>
        <w:numPr>
          <w:ilvl w:val="0"/>
          <w:numId w:val="5"/>
        </w:numPr>
        <w:rPr>
          <w:rFonts w:ascii="Arial" w:hAnsi="Arial" w:cs="Arial"/>
          <w:sz w:val="20"/>
          <w:szCs w:val="20"/>
        </w:rPr>
      </w:pPr>
      <w:r w:rsidRPr="00FA5308">
        <w:rPr>
          <w:rFonts w:ascii="Arial" w:hAnsi="Arial" w:cs="Arial"/>
          <w:sz w:val="20"/>
          <w:szCs w:val="20"/>
        </w:rPr>
        <w:lastRenderedPageBreak/>
        <w:t>geplante Senkung der CO2-Emission [t/a]</w:t>
      </w:r>
    </w:p>
    <w:p w:rsidR="00FA5308" w:rsidRDefault="00E057F8" w:rsidP="00FA5308">
      <w:pPr>
        <w:pStyle w:val="Listenabsatz"/>
        <w:numPr>
          <w:ilvl w:val="0"/>
          <w:numId w:val="5"/>
        </w:numPr>
        <w:rPr>
          <w:rFonts w:ascii="Arial" w:hAnsi="Arial" w:cs="Arial"/>
          <w:sz w:val="20"/>
          <w:szCs w:val="20"/>
        </w:rPr>
      </w:pPr>
      <w:r w:rsidRPr="00FA5308">
        <w:rPr>
          <w:rFonts w:ascii="Arial" w:hAnsi="Arial" w:cs="Arial"/>
          <w:sz w:val="20"/>
          <w:szCs w:val="20"/>
        </w:rPr>
        <w:t>geplante Energieeinsparung [kWh/m²a]</w:t>
      </w:r>
    </w:p>
    <w:p w:rsidR="00FA5308" w:rsidRDefault="00E057F8" w:rsidP="00FA5308">
      <w:pPr>
        <w:pStyle w:val="Listenabsatz"/>
        <w:numPr>
          <w:ilvl w:val="0"/>
          <w:numId w:val="5"/>
        </w:numPr>
        <w:rPr>
          <w:rFonts w:ascii="Arial" w:hAnsi="Arial" w:cs="Arial"/>
          <w:sz w:val="20"/>
          <w:szCs w:val="20"/>
        </w:rPr>
      </w:pPr>
      <w:r w:rsidRPr="00FA5308">
        <w:rPr>
          <w:rFonts w:ascii="Arial" w:hAnsi="Arial" w:cs="Arial"/>
          <w:sz w:val="20"/>
          <w:szCs w:val="20"/>
        </w:rPr>
        <w:t>Kosten der geplanten energetischen Sanierung [Cent/kWh]</w:t>
      </w:r>
    </w:p>
    <w:p w:rsidR="00E057F8" w:rsidRPr="00FA5308" w:rsidRDefault="00E057F8" w:rsidP="00FA5308">
      <w:pPr>
        <w:rPr>
          <w:rFonts w:ascii="Arial" w:hAnsi="Arial" w:cs="Arial"/>
          <w:sz w:val="20"/>
          <w:szCs w:val="20"/>
        </w:rPr>
      </w:pPr>
      <w:r w:rsidRPr="00FA5308">
        <w:rPr>
          <w:rFonts w:ascii="Arial" w:hAnsi="Arial" w:cs="Arial"/>
          <w:sz w:val="20"/>
          <w:szCs w:val="20"/>
        </w:rPr>
        <w:t>Des Weiteren spielen Sanierungsbedarf, Gesamtbaukosten und Barrierefreiheit eine wesentliche Rolle bei der Auswahl der Projekte. Die genannten Auswahlkriterien gelten bis zur Bestätigung im Begleitausschuss unter Vorbehalt.</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Derzeit werden die Richtlinien für die EFRE- und die ELER-Förderung nach den Vorgaben der Europäischen Union erarbeitet. </w:t>
      </w:r>
    </w:p>
    <w:p w:rsidR="00E057F8" w:rsidRPr="00E057F8" w:rsidRDefault="00E057F8" w:rsidP="00E057F8">
      <w:pPr>
        <w:rPr>
          <w:rFonts w:ascii="Arial" w:hAnsi="Arial" w:cs="Arial"/>
          <w:b/>
          <w:sz w:val="20"/>
          <w:szCs w:val="20"/>
        </w:rPr>
      </w:pPr>
      <w:r w:rsidRPr="00E057F8">
        <w:rPr>
          <w:rFonts w:ascii="Arial" w:hAnsi="Arial" w:cs="Arial"/>
          <w:b/>
          <w:sz w:val="20"/>
          <w:szCs w:val="20"/>
        </w:rPr>
        <w:t xml:space="preserve">Nachfolgend ein kurzer Überblick über die Kerninhalte der beiden Richtlinienentwürfe: </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Im Unterschied zur EU-Förderperiode 2007-2013 sind im Bereich der EFRE-Förderrichtlinie für die neue Förderperiode keine Modellvorhaben mehr vorgesehen. Weiterhin werden </w:t>
      </w:r>
      <w:r w:rsidRPr="00E057F8">
        <w:rPr>
          <w:rFonts w:ascii="Arial" w:hAnsi="Arial" w:cs="Arial"/>
          <w:b/>
          <w:sz w:val="20"/>
          <w:szCs w:val="20"/>
        </w:rPr>
        <w:t>im EFRE keine Neubauten und Ersatzneubauten gefördert.</w:t>
      </w:r>
      <w:r w:rsidRPr="00E057F8">
        <w:rPr>
          <w:rFonts w:ascii="Arial" w:hAnsi="Arial" w:cs="Arial"/>
          <w:sz w:val="20"/>
          <w:szCs w:val="20"/>
        </w:rPr>
        <w:t xml:space="preserve"> Aufgrund zahlreicher Nachfragen bezüglich der </w:t>
      </w:r>
      <w:r w:rsidRPr="00E057F8">
        <w:rPr>
          <w:rFonts w:ascii="Arial" w:hAnsi="Arial" w:cs="Arial"/>
          <w:b/>
          <w:sz w:val="20"/>
          <w:szCs w:val="20"/>
        </w:rPr>
        <w:t xml:space="preserve">Förderfähigkeit von Neubauten, (Teil-) Ersatzneubauten sowie Erweiterungsbauten </w:t>
      </w:r>
      <w:r w:rsidRPr="00E057F8">
        <w:rPr>
          <w:rFonts w:ascii="Arial" w:hAnsi="Arial" w:cs="Arial"/>
          <w:sz w:val="20"/>
          <w:szCs w:val="20"/>
        </w:rPr>
        <w:t>im Zuge einer STARK III-EFRE-Förderung in der EU-Förderperiode 2014-2020 wird auf folgendes hingewiesen:</w:t>
      </w:r>
    </w:p>
    <w:p w:rsidR="00FA5308" w:rsidRDefault="00E057F8" w:rsidP="00E057F8">
      <w:pPr>
        <w:pStyle w:val="Listenabsatz"/>
        <w:numPr>
          <w:ilvl w:val="0"/>
          <w:numId w:val="4"/>
        </w:numPr>
        <w:rPr>
          <w:rFonts w:ascii="Arial" w:hAnsi="Arial" w:cs="Arial"/>
          <w:sz w:val="20"/>
          <w:szCs w:val="20"/>
        </w:rPr>
      </w:pPr>
      <w:r w:rsidRPr="00FA5308">
        <w:rPr>
          <w:rFonts w:ascii="Arial" w:hAnsi="Arial" w:cs="Arial"/>
          <w:sz w:val="20"/>
          <w:szCs w:val="20"/>
        </w:rPr>
        <w:t xml:space="preserve">Neubauten, (Teil-) Ersatzneubauten sowie Erweiterungsbauten aller Art sind   </w:t>
      </w:r>
      <w:r w:rsidRPr="00FA5308">
        <w:rPr>
          <w:rFonts w:ascii="Arial" w:hAnsi="Arial" w:cs="Arial"/>
          <w:b/>
          <w:sz w:val="20"/>
          <w:szCs w:val="20"/>
        </w:rPr>
        <w:t xml:space="preserve">NICHT OP-EFRE-konform </w:t>
      </w:r>
      <w:r w:rsidRPr="00FA5308">
        <w:rPr>
          <w:rFonts w:ascii="Arial" w:hAnsi="Arial" w:cs="Arial"/>
          <w:sz w:val="20"/>
          <w:szCs w:val="20"/>
        </w:rPr>
        <w:t>und damit nicht förderfähig.</w:t>
      </w:r>
    </w:p>
    <w:p w:rsidR="00FA5308" w:rsidRDefault="00E057F8" w:rsidP="00E057F8">
      <w:pPr>
        <w:pStyle w:val="Listenabsatz"/>
        <w:numPr>
          <w:ilvl w:val="0"/>
          <w:numId w:val="4"/>
        </w:numPr>
        <w:rPr>
          <w:rFonts w:ascii="Arial" w:hAnsi="Arial" w:cs="Arial"/>
          <w:sz w:val="20"/>
          <w:szCs w:val="20"/>
        </w:rPr>
      </w:pPr>
      <w:r w:rsidRPr="00FA5308">
        <w:rPr>
          <w:rFonts w:ascii="Arial" w:hAnsi="Arial" w:cs="Arial"/>
          <w:sz w:val="20"/>
          <w:szCs w:val="20"/>
        </w:rPr>
        <w:t xml:space="preserve">Der Anbau eines baulich und funktional notwendigen Gebäudes im Zusammenhang mit der energetischen Sanierung, wie z. B. einer Heiz- oder Lüftungszentrale, der in einem vertretbarem Umfang im Verhältnis zum Hauptsanierungsbau steht, kann mit EFRE-Mitteln bezuschusst werden. </w:t>
      </w:r>
    </w:p>
    <w:p w:rsidR="00E057F8" w:rsidRPr="00FA5308" w:rsidRDefault="00E057F8" w:rsidP="00E057F8">
      <w:pPr>
        <w:pStyle w:val="Listenabsatz"/>
        <w:numPr>
          <w:ilvl w:val="0"/>
          <w:numId w:val="4"/>
        </w:numPr>
        <w:rPr>
          <w:rFonts w:ascii="Arial" w:hAnsi="Arial" w:cs="Arial"/>
          <w:sz w:val="20"/>
          <w:szCs w:val="20"/>
        </w:rPr>
      </w:pPr>
      <w:r w:rsidRPr="00FA5308">
        <w:rPr>
          <w:rFonts w:ascii="Arial" w:hAnsi="Arial" w:cs="Arial"/>
          <w:sz w:val="20"/>
          <w:szCs w:val="20"/>
        </w:rPr>
        <w:t xml:space="preserve">Nicht im Zusammenhang mit der energetischen Sanierung stehende Funktionsgebäude, wie z. B. Sanitäreinrichtungen oder Umkleideräume, bleiben von der EFRE-Förderung ausgeschlossen. </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Neu seitens der EU ist, dass die Möglichkeit der Förderung in diesem Bereich an die Eigenschaft der zu fördernden Gebäude als „öffentliche Gebäude“ i. S. der Definition des OP-EFRE geknüpft wird. Diese umfassen Nichtwohngebäude, die sich im Besitz der öffentlichen Hand oder gemeinnütziger Organisationen befinden, die dem Allgemeinwohl dienende Ziele verfolgen. Dazu zählen u. a. auch Gebäude und Infrastrukturen öffentlicher Unternehmen und freier Träger der schulischen Bildung, die als genehmigte (Träger von) Ersatzschulen gemeinnützig arbeiten. Die EU-Mittel dürfen weiterhin nur zur energetischen Sanierung eingesetzt werden. Zur ergänzenden allgemeinen Sanierung können wieder Zuschüsse über Landesmittel gewährt werden. </w:t>
      </w:r>
    </w:p>
    <w:p w:rsidR="00E057F8" w:rsidRPr="00E057F8" w:rsidRDefault="00E057F8" w:rsidP="00E057F8">
      <w:pPr>
        <w:rPr>
          <w:rFonts w:ascii="Arial" w:hAnsi="Arial" w:cs="Arial"/>
          <w:sz w:val="20"/>
          <w:szCs w:val="20"/>
        </w:rPr>
      </w:pPr>
      <w:r w:rsidRPr="00E057F8">
        <w:rPr>
          <w:rFonts w:ascii="Arial" w:hAnsi="Arial" w:cs="Arial"/>
          <w:sz w:val="20"/>
          <w:szCs w:val="20"/>
        </w:rPr>
        <w:t>Grundsätzlich anders im Bereich der ELER-Förderrichtlinie ist zunächst die Tatsache, dass es keine separaten Richtlinien für die Förderung von Kindertageseinrichtungen durch das Ministerium für Arbeit und Soziales bzw. für Schulen durch das Kultusministerium mehr geben wird. Die Regelungen werden in einer ELER-Förderrichtlinie des Ministeriums der Finanzen zusammengeführt. Weiterhin wird die praktische Umsetzung der ELER-Förderung nicht mehr wie bisher durch das Landesverwaltungsamt, sondern anstelle dessen durch die Investitionsbank Sachsen-Anhalt erfolgen. Grundsätzlich wird bei der ELER-Förderung die Förderung von Kindertageseinrichtungen in freier Trägerschaft möglich sein. Gleiches gilt für Schulen in freier Trägerschaft, soweit es sich dabei um Träger anerkannter Ersatzschulen handelt.</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Neu in der ELER-Richtlinie ist, dass die EU hinsichtlich der Möglichkeit der Förderung das Gesamtinvestitionsvolumen des gesamten Vorhabens auf </w:t>
      </w:r>
      <w:r w:rsidRPr="00E057F8">
        <w:rPr>
          <w:rFonts w:ascii="Arial" w:hAnsi="Arial" w:cs="Arial"/>
          <w:b/>
          <w:sz w:val="20"/>
          <w:szCs w:val="20"/>
        </w:rPr>
        <w:t xml:space="preserve">maximal 3 Mio. Euro netto </w:t>
      </w:r>
      <w:r w:rsidRPr="00E057F8">
        <w:rPr>
          <w:rFonts w:ascii="Arial" w:hAnsi="Arial" w:cs="Arial"/>
          <w:sz w:val="20"/>
          <w:szCs w:val="20"/>
        </w:rPr>
        <w:t>beschränkt hat. Neu- und Ersatzneubauten sind auch in der neuen Förderperiode im ELER zugelassen. Wie bisher muss der Anteil der energetischen Maßnahmen mindestens</w:t>
      </w:r>
      <w:r>
        <w:rPr>
          <w:rFonts w:ascii="Arial" w:hAnsi="Arial" w:cs="Arial"/>
          <w:sz w:val="20"/>
          <w:szCs w:val="20"/>
        </w:rPr>
        <w:t xml:space="preserve"> </w:t>
      </w:r>
      <w:r w:rsidRPr="00E057F8">
        <w:rPr>
          <w:rFonts w:ascii="Arial" w:hAnsi="Arial" w:cs="Arial"/>
          <w:sz w:val="20"/>
          <w:szCs w:val="20"/>
        </w:rPr>
        <w:t xml:space="preserve">30 v. H. betragen. Die Projektauswahl von Kindertageseinrichtungen und Schulen wird getrennt voneinander erfolgen. </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Weiterhin gilt für beide Richtlinienentwürfe: </w:t>
      </w:r>
    </w:p>
    <w:p w:rsidR="00FA5308" w:rsidRDefault="00E057F8" w:rsidP="00E057F8">
      <w:pPr>
        <w:pStyle w:val="Listenabsatz"/>
        <w:numPr>
          <w:ilvl w:val="0"/>
          <w:numId w:val="6"/>
        </w:numPr>
        <w:rPr>
          <w:rFonts w:ascii="Arial" w:hAnsi="Arial" w:cs="Arial"/>
          <w:sz w:val="20"/>
          <w:szCs w:val="20"/>
        </w:rPr>
      </w:pPr>
      <w:r w:rsidRPr="00FA5308">
        <w:rPr>
          <w:rFonts w:ascii="Arial" w:hAnsi="Arial" w:cs="Arial"/>
          <w:sz w:val="20"/>
          <w:szCs w:val="20"/>
        </w:rPr>
        <w:lastRenderedPageBreak/>
        <w:t xml:space="preserve">Zur Finanzierung der Eigenanteile kann das grundsätzlich zinsfreie Darlehensprogramm des Landes Sachsen-Anhalt bei der Investitionsbank Sachsen-Anhalt wieder in Anspruch genommen werden. </w:t>
      </w:r>
    </w:p>
    <w:p w:rsidR="00FA5308" w:rsidRDefault="00E057F8" w:rsidP="00E057F8">
      <w:pPr>
        <w:pStyle w:val="Listenabsatz"/>
        <w:numPr>
          <w:ilvl w:val="0"/>
          <w:numId w:val="6"/>
        </w:numPr>
        <w:rPr>
          <w:rFonts w:ascii="Arial" w:hAnsi="Arial" w:cs="Arial"/>
          <w:sz w:val="20"/>
          <w:szCs w:val="20"/>
        </w:rPr>
      </w:pPr>
      <w:r w:rsidRPr="00FA5308">
        <w:rPr>
          <w:rFonts w:ascii="Arial" w:hAnsi="Arial" w:cs="Arial"/>
          <w:sz w:val="20"/>
          <w:szCs w:val="20"/>
        </w:rPr>
        <w:t xml:space="preserve">Ebenfalls gilt die Regelung in der EU-VO Nr. 1303/2014, Art. 61, nach der die im Rahmen der Sanierung erwirtschafteten Einsparungen bei den Betriebskosten bei Vorhaben mit förderfähigen Gesamtkosten über 1,0 Mio. EUR (vor Kürzung) als Nettoeinnahmen behandelt werden und demnach zu Kürzungen der Förderung führen. </w:t>
      </w:r>
    </w:p>
    <w:p w:rsidR="00FA5308" w:rsidRDefault="00E057F8" w:rsidP="00E057F8">
      <w:pPr>
        <w:pStyle w:val="Listenabsatz"/>
        <w:numPr>
          <w:ilvl w:val="0"/>
          <w:numId w:val="6"/>
        </w:numPr>
        <w:rPr>
          <w:rFonts w:ascii="Arial" w:hAnsi="Arial" w:cs="Arial"/>
          <w:sz w:val="20"/>
          <w:szCs w:val="20"/>
        </w:rPr>
      </w:pPr>
      <w:r w:rsidRPr="00FA5308">
        <w:rPr>
          <w:rFonts w:ascii="Arial" w:hAnsi="Arial" w:cs="Arial"/>
          <w:sz w:val="20"/>
          <w:szCs w:val="20"/>
        </w:rPr>
        <w:t xml:space="preserve">Das bedeutet, dass z. B. alle geplanten Einsparungen durch die energetische Sanierung von der Fördersumme abgezogen werden müssen. Gegenwärtig ist man bemüht, mit der EU-KOM die Auslegung dieser Regelung zu klären. Bis dahin ist davon auszugehen, dass sie auf alle STARK III-Vorhaben anzuwenden ist. </w:t>
      </w:r>
    </w:p>
    <w:p w:rsidR="00FA5308" w:rsidRDefault="00E057F8" w:rsidP="00E057F8">
      <w:pPr>
        <w:pStyle w:val="Listenabsatz"/>
        <w:numPr>
          <w:ilvl w:val="0"/>
          <w:numId w:val="6"/>
        </w:numPr>
        <w:rPr>
          <w:rFonts w:ascii="Arial" w:hAnsi="Arial" w:cs="Arial"/>
          <w:sz w:val="20"/>
          <w:szCs w:val="20"/>
        </w:rPr>
      </w:pPr>
      <w:r w:rsidRPr="00FA5308">
        <w:rPr>
          <w:rFonts w:ascii="Arial" w:hAnsi="Arial" w:cs="Arial"/>
          <w:sz w:val="20"/>
          <w:szCs w:val="20"/>
        </w:rPr>
        <w:t>Die entsprechende Einrichtung muss im jeweils gültigen Bedarfsplan Jugendhilfe bzw. Schulentwicklungsplan enthalten sein.</w:t>
      </w:r>
    </w:p>
    <w:p w:rsidR="00E057F8" w:rsidRPr="00FA5308" w:rsidRDefault="00E057F8" w:rsidP="00E057F8">
      <w:pPr>
        <w:pStyle w:val="Listenabsatz"/>
        <w:numPr>
          <w:ilvl w:val="0"/>
          <w:numId w:val="6"/>
        </w:numPr>
        <w:rPr>
          <w:rFonts w:ascii="Arial" w:hAnsi="Arial" w:cs="Arial"/>
          <w:sz w:val="20"/>
          <w:szCs w:val="20"/>
        </w:rPr>
      </w:pPr>
      <w:r w:rsidRPr="00FA5308">
        <w:rPr>
          <w:rFonts w:ascii="Arial" w:hAnsi="Arial" w:cs="Arial"/>
          <w:sz w:val="20"/>
          <w:szCs w:val="20"/>
        </w:rPr>
        <w:t>Fördervoraussetzung ist nach wie vor der Nachweis der Bestandssicherheit für die   Kindertageseinrichtungen und Schulen im Rahmen der Zweckbindungsfrist von 15 Jahren (</w:t>
      </w:r>
      <w:proofErr w:type="spellStart"/>
      <w:r w:rsidRPr="00FA5308">
        <w:rPr>
          <w:rFonts w:ascii="Arial" w:hAnsi="Arial" w:cs="Arial"/>
          <w:sz w:val="20"/>
          <w:szCs w:val="20"/>
        </w:rPr>
        <w:t>Demografiecheck</w:t>
      </w:r>
      <w:proofErr w:type="spellEnd"/>
      <w:r w:rsidRPr="00FA5308">
        <w:rPr>
          <w:rFonts w:ascii="Arial" w:hAnsi="Arial" w:cs="Arial"/>
          <w:sz w:val="20"/>
          <w:szCs w:val="20"/>
        </w:rPr>
        <w:t xml:space="preserve">). Die Anforderungen hierfür werden durch das Ministerium für Arbeit und Soziales (für Kindertageseinrichtungen) und durch das Kultusministerium (für Schulen) bestimmt. Der </w:t>
      </w:r>
      <w:proofErr w:type="spellStart"/>
      <w:r w:rsidRPr="00FA5308">
        <w:rPr>
          <w:rFonts w:ascii="Arial" w:hAnsi="Arial" w:cs="Arial"/>
          <w:sz w:val="20"/>
          <w:szCs w:val="20"/>
        </w:rPr>
        <w:t>Demografiecheck</w:t>
      </w:r>
      <w:proofErr w:type="spellEnd"/>
      <w:r w:rsidRPr="00FA5308">
        <w:rPr>
          <w:rFonts w:ascii="Arial" w:hAnsi="Arial" w:cs="Arial"/>
          <w:sz w:val="20"/>
          <w:szCs w:val="20"/>
        </w:rPr>
        <w:t xml:space="preserve">  kann und soll bereits nach Bekanntgabe der entsprechenden Antragsformulare vorgezogen durchgeführt werden. Mit den zu verwendenden Formularen werden auf die  Anforderungen an und die notwendigen Erläuterungen zum </w:t>
      </w:r>
      <w:proofErr w:type="spellStart"/>
      <w:r w:rsidRPr="00FA5308">
        <w:rPr>
          <w:rFonts w:ascii="Arial" w:hAnsi="Arial" w:cs="Arial"/>
          <w:sz w:val="20"/>
          <w:szCs w:val="20"/>
        </w:rPr>
        <w:t>Demografiecheck</w:t>
      </w:r>
      <w:proofErr w:type="spellEnd"/>
      <w:r w:rsidRPr="00FA5308">
        <w:rPr>
          <w:rFonts w:ascii="Arial" w:hAnsi="Arial" w:cs="Arial"/>
          <w:sz w:val="20"/>
          <w:szCs w:val="20"/>
        </w:rPr>
        <w:t xml:space="preserve"> für  Schulen bekanntgemacht und veröffentlicht werden. Informationen zur Veröffentlichung der Formulare werden in einem extra Newsletter und auf den Seiten www.mf.sachsen-anhalt.de sowie www.starkiii.de bekanntgegeben. </w:t>
      </w:r>
    </w:p>
    <w:p w:rsidR="00E057F8" w:rsidRPr="00E057F8" w:rsidRDefault="00E057F8" w:rsidP="00E057F8">
      <w:pPr>
        <w:rPr>
          <w:rFonts w:ascii="Arial" w:hAnsi="Arial" w:cs="Arial"/>
          <w:b/>
          <w:sz w:val="20"/>
          <w:szCs w:val="20"/>
        </w:rPr>
      </w:pPr>
      <w:r w:rsidRPr="00E057F8">
        <w:rPr>
          <w:rFonts w:ascii="Arial" w:hAnsi="Arial" w:cs="Arial"/>
          <w:b/>
          <w:sz w:val="20"/>
          <w:szCs w:val="20"/>
        </w:rPr>
        <w:t xml:space="preserve">Hinweis: </w:t>
      </w:r>
    </w:p>
    <w:p w:rsidR="00E057F8" w:rsidRPr="00E057F8" w:rsidRDefault="00E057F8" w:rsidP="00E057F8">
      <w:pPr>
        <w:rPr>
          <w:rFonts w:ascii="Arial" w:hAnsi="Arial" w:cs="Arial"/>
          <w:sz w:val="20"/>
          <w:szCs w:val="20"/>
        </w:rPr>
      </w:pPr>
      <w:r w:rsidRPr="00E057F8">
        <w:rPr>
          <w:rFonts w:ascii="Arial" w:hAnsi="Arial" w:cs="Arial"/>
          <w:sz w:val="20"/>
          <w:szCs w:val="20"/>
        </w:rPr>
        <w:t>Für den STARK III-Zeitraum 2014-2020 entsprechen die Anforderungen an die Mindestschülerzahlen denen des Förderzeitraums 2007-2013. Weiterhin gelten die Ausnahmen für Grundschulen im ELER-Gebiet, welche eine Abweichung von den Mindestschülerzahlen im Verlauf der Zweckbindungsfrist zulassen, wenn</w:t>
      </w:r>
    </w:p>
    <w:p w:rsidR="00FA5308" w:rsidRDefault="00E057F8" w:rsidP="00E057F8">
      <w:pPr>
        <w:pStyle w:val="Listenabsatz"/>
        <w:numPr>
          <w:ilvl w:val="0"/>
          <w:numId w:val="8"/>
        </w:numPr>
        <w:rPr>
          <w:rFonts w:ascii="Arial" w:hAnsi="Arial" w:cs="Arial"/>
          <w:sz w:val="20"/>
          <w:szCs w:val="20"/>
        </w:rPr>
      </w:pPr>
      <w:r w:rsidRPr="00FA5308">
        <w:rPr>
          <w:rFonts w:ascii="Arial" w:hAnsi="Arial" w:cs="Arial"/>
          <w:sz w:val="20"/>
          <w:szCs w:val="20"/>
        </w:rPr>
        <w:t>die GS für die Sicherung der schulischen Daseinsvorsorge notwendig ist, da im Rahmen der in den Linienverkehr integrierten Schülerbeförderung keine andere GS innerhalb einer zumutbaren Schulwegzeit erreichbar ist oder</w:t>
      </w:r>
    </w:p>
    <w:p w:rsidR="00E057F8" w:rsidRPr="00FA5308" w:rsidRDefault="00E057F8" w:rsidP="00E057F8">
      <w:pPr>
        <w:pStyle w:val="Listenabsatz"/>
        <w:numPr>
          <w:ilvl w:val="0"/>
          <w:numId w:val="8"/>
        </w:numPr>
        <w:rPr>
          <w:rFonts w:ascii="Arial" w:hAnsi="Arial" w:cs="Arial"/>
          <w:sz w:val="20"/>
          <w:szCs w:val="20"/>
        </w:rPr>
      </w:pPr>
      <w:r w:rsidRPr="00FA5308">
        <w:rPr>
          <w:rFonts w:ascii="Arial" w:hAnsi="Arial" w:cs="Arial"/>
          <w:sz w:val="20"/>
          <w:szCs w:val="20"/>
        </w:rPr>
        <w:t xml:space="preserve">die GS perspektivisch die einzige bestandssichere GS im Gebiet der Einheits- oder  Verbandsgemeinde ist. </w:t>
      </w:r>
    </w:p>
    <w:p w:rsidR="00E057F8" w:rsidRPr="00E057F8" w:rsidRDefault="00E057F8" w:rsidP="00E057F8">
      <w:pPr>
        <w:rPr>
          <w:rFonts w:ascii="Arial" w:hAnsi="Arial" w:cs="Arial"/>
          <w:sz w:val="20"/>
          <w:szCs w:val="20"/>
        </w:rPr>
      </w:pPr>
      <w:r w:rsidRPr="00E057F8">
        <w:rPr>
          <w:rFonts w:ascii="Arial" w:hAnsi="Arial" w:cs="Arial"/>
          <w:sz w:val="20"/>
          <w:szCs w:val="20"/>
        </w:rPr>
        <w:t>Anschließend möchten wir die Träger auffordern, jetzt die Projekte zu forcieren und vorzubereiten, die besonders hohe Effekte erwarten lassen.</w:t>
      </w:r>
    </w:p>
    <w:p w:rsidR="00E057F8" w:rsidRPr="00E057F8" w:rsidRDefault="00E057F8" w:rsidP="00E057F8">
      <w:pPr>
        <w:rPr>
          <w:rFonts w:ascii="Arial" w:hAnsi="Arial" w:cs="Arial"/>
          <w:sz w:val="20"/>
          <w:szCs w:val="20"/>
        </w:rPr>
      </w:pPr>
      <w:r w:rsidRPr="00E057F8">
        <w:rPr>
          <w:rFonts w:ascii="Arial" w:hAnsi="Arial" w:cs="Arial"/>
          <w:sz w:val="20"/>
          <w:szCs w:val="20"/>
        </w:rPr>
        <w:t xml:space="preserve">Fragen beantworten die Mitarbeiter für das Förderprogramm STARK III im Ministerium der Finanzen. Zu den Ansprechpartnern zählen Herr Volk (Tel.: 0391/567-1207) und  Herr Diederich (Tel.: 0391/567-1022). Herr Diederich und Herr </w:t>
      </w:r>
      <w:proofErr w:type="spellStart"/>
      <w:r w:rsidRPr="00E057F8">
        <w:rPr>
          <w:rFonts w:ascii="Arial" w:hAnsi="Arial" w:cs="Arial"/>
          <w:sz w:val="20"/>
          <w:szCs w:val="20"/>
        </w:rPr>
        <w:t>Peickert</w:t>
      </w:r>
      <w:proofErr w:type="spellEnd"/>
      <w:r w:rsidRPr="00E057F8">
        <w:rPr>
          <w:rFonts w:ascii="Arial" w:hAnsi="Arial" w:cs="Arial"/>
          <w:sz w:val="20"/>
          <w:szCs w:val="20"/>
        </w:rPr>
        <w:t xml:space="preserve"> (Tel.: 0391/567-2036) geben Auskunft rund um bautechnische und energetische Belange. Für Fragen zur Antragstellung und Darlehen wenden Sie sich bitte an Frau Trumpf von der Investitionsbank (Tel.: 0391/589-1932).  </w:t>
      </w:r>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101E1F"/>
    <w:rsid w:val="002A3BF1"/>
    <w:rsid w:val="002C3424"/>
    <w:rsid w:val="002C48C0"/>
    <w:rsid w:val="003852B3"/>
    <w:rsid w:val="003C1502"/>
    <w:rsid w:val="00402F10"/>
    <w:rsid w:val="0052454C"/>
    <w:rsid w:val="00550F3C"/>
    <w:rsid w:val="005A33ED"/>
    <w:rsid w:val="007E3C5F"/>
    <w:rsid w:val="008B3A7C"/>
    <w:rsid w:val="008D664A"/>
    <w:rsid w:val="00932E11"/>
    <w:rsid w:val="009F112A"/>
    <w:rsid w:val="00CF720F"/>
    <w:rsid w:val="00D17F82"/>
    <w:rsid w:val="00E057F8"/>
    <w:rsid w:val="00E540EB"/>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D35B1364.dotm</Template>
  <TotalTime>0</TotalTime>
  <Pages>3</Pages>
  <Words>1319</Words>
  <Characters>8314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2016-06-22T08:30:00Z</dcterms:created>
  <dcterms:modified xsi:type="dcterms:W3CDTF">2016-06-22T09:45:00Z</dcterms:modified>
</cp:coreProperties>
</file>